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16214" w14:textId="0EA5F160" w:rsidR="001C6709" w:rsidRDefault="00A75DF5">
      <w:pPr>
        <w:pStyle w:val="af1"/>
        <w:jc w:val="left"/>
        <w:rPr>
          <w:rFonts w:ascii="华文细黑" w:eastAsia="华文细黑" w:hAnsi="华文细黑"/>
          <w:b w:val="0"/>
          <w:sz w:val="24"/>
          <w:szCs w:val="24"/>
        </w:rPr>
      </w:pPr>
      <w:bookmarkStart w:id="0" w:name="_Toc137736103"/>
      <w:r>
        <w:rPr>
          <w:rFonts w:ascii="华文细黑" w:eastAsia="华文细黑" w:hAnsi="华文细黑" w:hint="eastAsia"/>
          <w:b w:val="0"/>
          <w:sz w:val="24"/>
          <w:szCs w:val="24"/>
        </w:rPr>
        <w:t>附录</w:t>
      </w:r>
      <w:r w:rsidR="009E1E59">
        <w:rPr>
          <w:rFonts w:ascii="华文细黑" w:eastAsia="华文细黑" w:hAnsi="华文细黑" w:hint="eastAsia"/>
          <w:b w:val="0"/>
          <w:sz w:val="24"/>
          <w:szCs w:val="24"/>
        </w:rPr>
        <w:t>一</w:t>
      </w:r>
      <w:r w:rsidR="002F2DB6">
        <w:rPr>
          <w:rFonts w:ascii="华文细黑" w:eastAsia="华文细黑" w:hAnsi="华文细黑" w:hint="eastAsia"/>
          <w:b w:val="0"/>
          <w:sz w:val="24"/>
          <w:szCs w:val="24"/>
        </w:rPr>
        <w:t>：供应商业务要求告知书</w:t>
      </w:r>
      <w:bookmarkEnd w:id="0"/>
    </w:p>
    <w:p w14:paraId="5E4C50C9"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为规范我公司（江苏万邦生化医药集团有限责任公司）采购管理和过程控制，提高采购物料和服务的质量，维护公司整体利益，创造良好的采购环境和氛围，稳定和优化供应商队伍，规范供应商管理，建立良好的供需合作关系，最终达到合作共赢的目的，我公司建立供应商管理制度，特此告知。</w:t>
      </w:r>
    </w:p>
    <w:p w14:paraId="30C41FB7" w14:textId="77777777" w:rsidR="001C6709" w:rsidRDefault="001C6709">
      <w:pPr>
        <w:spacing w:line="400" w:lineRule="exact"/>
        <w:rPr>
          <w:rFonts w:ascii="华文细黑" w:eastAsia="华文细黑" w:hAnsi="华文细黑"/>
          <w:sz w:val="24"/>
        </w:rPr>
      </w:pPr>
    </w:p>
    <w:p w14:paraId="6F016A26"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质量</w:t>
      </w:r>
    </w:p>
    <w:p w14:paraId="24521643"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定期签订质量协议，按照质量协议标准供货；</w:t>
      </w:r>
    </w:p>
    <w:p w14:paraId="7C2CD5E3"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试用物料应进行标记，以免与日常供货物料产生混淆；</w:t>
      </w:r>
    </w:p>
    <w:p w14:paraId="5F166597"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产品原材料供应商（包括原辅包材料）：与产品质量相关的变更应进行通知，重大变更提前通知，应在变更申请阶段进行通知，经回复函批准后方可执行，以便于我公司生产、质量部门做好评估并建立相应的方案保证产品质量；一般变更和微小变更进行年报；</w:t>
      </w:r>
    </w:p>
    <w:p w14:paraId="79444312"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在接受外部审计时，若供我公司用物料在审计中被提出质量风险问题，应于24小时内通知我公司，并以坦诚公开的态度告知审计具体问题，以便于质量部门进行评估；</w:t>
      </w:r>
    </w:p>
    <w:p w14:paraId="4ACDF4FC"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在标准升级征求意见阶段，应主动反馈存在的风险，共同评估风险，制定解决措施；在标准升级的交接阶段，应明确所供货物标准。</w:t>
      </w:r>
    </w:p>
    <w:p w14:paraId="5A3C53AB"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价格</w:t>
      </w:r>
    </w:p>
    <w:p w14:paraId="5762A514"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所供物资价格合理，不参与恶意垄断行为；</w:t>
      </w:r>
    </w:p>
    <w:p w14:paraId="7E63E7EC"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应主动制定控制成本的措施在满足质量的同时降低成本；</w:t>
      </w:r>
    </w:p>
    <w:p w14:paraId="59C54C02"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应建立市场调研及反馈机制，能够及时发现供货价格的影响因素，及时进行预防或提前备货，并在24小时内告知我公司，以便于及时应对市场变化；</w:t>
      </w:r>
    </w:p>
    <w:p w14:paraId="0101CB90"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如因不可抗力造成的价格浮动，应在获知后24小时内通知。</w:t>
      </w:r>
    </w:p>
    <w:p w14:paraId="3CEAF6D4"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交货量</w:t>
      </w:r>
    </w:p>
    <w:p w14:paraId="1D0C009B"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按照订单量进行交货，出库前均应进行审核，避免交货量错误；</w:t>
      </w:r>
    </w:p>
    <w:p w14:paraId="707FF43A"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若交货量发生变化，应提前进行通知，根据回复后确认是否可更改；</w:t>
      </w:r>
    </w:p>
    <w:p w14:paraId="77C93E91"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能够配合需求量的应急变化进行柔性生产或者能够进行货物的合理调配，以满足交货量和交期要求。</w:t>
      </w:r>
    </w:p>
    <w:p w14:paraId="7E723749"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交期</w:t>
      </w:r>
    </w:p>
    <w:p w14:paraId="7EBFDA09"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按照预定的交货期前后两天范围内进行交货，若无法按照预定交期范围内交货，应至少提前7天通知；</w:t>
      </w:r>
    </w:p>
    <w:p w14:paraId="211C887A"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lastRenderedPageBreak/>
        <w:t>提供生产周期范围，以便于控制下订单时间，同时利于双方共同降低库存；</w:t>
      </w:r>
    </w:p>
    <w:p w14:paraId="5EAC77E0"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对于临时应急采购，应紧密进行联系，以满足在规定交期内交货要求；</w:t>
      </w:r>
    </w:p>
    <w:p w14:paraId="197FB820"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售后服务</w:t>
      </w:r>
    </w:p>
    <w:p w14:paraId="53C75EBE" w14:textId="77777777" w:rsidR="001C6709" w:rsidRDefault="00A75DF5">
      <w:pPr>
        <w:spacing w:line="400" w:lineRule="exact"/>
        <w:ind w:firstLineChars="200" w:firstLine="480"/>
        <w:rPr>
          <w:rFonts w:ascii="华文细黑" w:eastAsia="华文细黑" w:hAnsi="华文细黑" w:cs="Arial"/>
          <w:sz w:val="24"/>
          <w:shd w:val="clear" w:color="auto" w:fill="FFFFFF"/>
        </w:rPr>
      </w:pPr>
      <w:r>
        <w:rPr>
          <w:rFonts w:ascii="华文细黑" w:eastAsia="华文细黑" w:hAnsi="华文细黑" w:hint="eastAsia"/>
          <w:sz w:val="24"/>
        </w:rPr>
        <w:t>按照合同或质量协议中规定的售后服务执行，出现投诉应在24小时内启动调查程序，</w:t>
      </w:r>
      <w:r>
        <w:rPr>
          <w:rFonts w:ascii="华文细黑" w:eastAsia="华文细黑" w:hAnsi="华文细黑" w:cs="Arial"/>
          <w:sz w:val="24"/>
          <w:shd w:val="clear" w:color="auto" w:fill="FFFFFF"/>
        </w:rPr>
        <w:t>建立联合的任务小组解决共同关心的问题</w:t>
      </w:r>
      <w:r>
        <w:rPr>
          <w:rFonts w:ascii="华文细黑" w:eastAsia="华文细黑" w:hAnsi="华文细黑" w:cs="Arial" w:hint="eastAsia"/>
          <w:sz w:val="24"/>
          <w:shd w:val="clear" w:color="auto" w:fill="FFFFFF"/>
        </w:rPr>
        <w:t>，小组成员应至少包含供需双方的生产、质量人员以及供销联系人；</w:t>
      </w:r>
    </w:p>
    <w:p w14:paraId="228A84EE" w14:textId="77777777" w:rsidR="001C6709" w:rsidRDefault="00A75DF5">
      <w:pPr>
        <w:spacing w:line="400" w:lineRule="exact"/>
        <w:ind w:firstLineChars="200" w:firstLine="480"/>
        <w:rPr>
          <w:rFonts w:ascii="华文细黑" w:eastAsia="华文细黑" w:hAnsi="华文细黑" w:cs="Arial"/>
          <w:sz w:val="24"/>
          <w:shd w:val="clear" w:color="auto" w:fill="FFFFFF"/>
        </w:rPr>
      </w:pPr>
      <w:r>
        <w:rPr>
          <w:rFonts w:ascii="华文细黑" w:eastAsia="华文细黑" w:hAnsi="华文细黑" w:cs="Arial" w:hint="eastAsia"/>
          <w:sz w:val="24"/>
          <w:shd w:val="clear" w:color="auto" w:fill="FFFFFF"/>
        </w:rPr>
        <w:t>因制药行业的特殊性，对于需应急处理的投诉，供应商应启动相应的紧急程序，在约定的时间限度内完成基本调查及风险评估（有时会出现生产质量人员全部停工等待决策的情况，此情况的决策需要结合调查的结果和风险评估来确定）；</w:t>
      </w:r>
    </w:p>
    <w:p w14:paraId="371A5323" w14:textId="77777777" w:rsidR="001C6709" w:rsidRDefault="00A75DF5">
      <w:pPr>
        <w:spacing w:line="400" w:lineRule="exact"/>
        <w:ind w:firstLineChars="200" w:firstLine="480"/>
        <w:rPr>
          <w:rFonts w:ascii="华文细黑" w:eastAsia="华文细黑" w:hAnsi="华文细黑" w:cs="Arial"/>
          <w:sz w:val="24"/>
          <w:shd w:val="clear" w:color="auto" w:fill="FFFFFF"/>
        </w:rPr>
      </w:pPr>
      <w:r>
        <w:rPr>
          <w:rFonts w:ascii="华文细黑" w:eastAsia="华文细黑" w:hAnsi="华文细黑" w:cs="Arial" w:hint="eastAsia"/>
          <w:sz w:val="24"/>
          <w:shd w:val="clear" w:color="auto" w:fill="FFFFFF"/>
        </w:rPr>
        <w:t>配合供应商审计以及审计整改，包括但不仅限于质量提升整改项和降本增效整改项等。</w:t>
      </w:r>
    </w:p>
    <w:p w14:paraId="07F433CB"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战略合作</w:t>
      </w:r>
    </w:p>
    <w:p w14:paraId="3E73B090"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忠诚度——在资金占用困难时，能够站到战略合作的角度保证物资质量和供货数量，共同度过困难；</w:t>
      </w:r>
    </w:p>
    <w:p w14:paraId="77495887"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研发合作——在能够配合制剂研发需求，提供小试样品或能够配合进行产品调整以更好匹配我公司产品需求，积极配合制剂的关联审评工作；</w:t>
      </w:r>
    </w:p>
    <w:p w14:paraId="53D6398A" w14:textId="77777777" w:rsidR="001C6709" w:rsidRDefault="00A75DF5">
      <w:pPr>
        <w:spacing w:line="400" w:lineRule="exact"/>
        <w:ind w:firstLineChars="200" w:firstLine="480"/>
        <w:rPr>
          <w:rFonts w:ascii="华文细黑" w:eastAsia="华文细黑" w:hAnsi="华文细黑"/>
          <w:sz w:val="24"/>
        </w:rPr>
      </w:pPr>
      <w:r>
        <w:rPr>
          <w:rFonts w:ascii="华文细黑" w:eastAsia="华文细黑" w:hAnsi="华文细黑" w:hint="eastAsia"/>
          <w:sz w:val="24"/>
        </w:rPr>
        <w:t>共同成长——定期进行交流互访，价值观认同，能够一起快速成长。</w:t>
      </w:r>
    </w:p>
    <w:p w14:paraId="5C6A3EC5" w14:textId="77777777" w:rsidR="001C6709" w:rsidRDefault="00A75DF5">
      <w:pPr>
        <w:numPr>
          <w:ilvl w:val="0"/>
          <w:numId w:val="7"/>
        </w:numPr>
        <w:spacing w:line="400" w:lineRule="exact"/>
        <w:rPr>
          <w:rFonts w:ascii="华文细黑" w:eastAsia="华文细黑" w:hAnsi="华文细黑"/>
          <w:sz w:val="24"/>
        </w:rPr>
      </w:pPr>
      <w:r>
        <w:rPr>
          <w:rFonts w:ascii="华文细黑" w:eastAsia="华文细黑" w:hAnsi="华文细黑" w:hint="eastAsia"/>
          <w:sz w:val="24"/>
        </w:rPr>
        <w:t>合作终止</w:t>
      </w:r>
    </w:p>
    <w:p w14:paraId="72F6EB06"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经评估不符合公司要求的供应商将取消供货资格，性质恶劣可以列入采购黑名单，2年内不得参与供货。严重符合下列情况之一的供应商可取消其供货资格：</w:t>
      </w:r>
      <w:r>
        <w:rPr>
          <w:rFonts w:ascii="华文细黑" w:eastAsia="华文细黑" w:hAnsi="华文细黑"/>
          <w:sz w:val="24"/>
        </w:rPr>
        <w:t xml:space="preserve"> </w:t>
      </w:r>
    </w:p>
    <w:p w14:paraId="05A32EC2"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1、所供的某一种物料出现批量性或重大质量问题，且未分析出根本原因，未制定整改计划前，暂停或取消该供应商此物料的供货资格；</w:t>
      </w:r>
    </w:p>
    <w:p w14:paraId="60457967"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2、生产类物资供应商被质量部列为不合格供应商；</w:t>
      </w:r>
    </w:p>
    <w:p w14:paraId="644F55B5"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3、在正常供货中发生批量性质量事故，并在规定期限内整改无效；</w:t>
      </w:r>
    </w:p>
    <w:p w14:paraId="5297F32B"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4、提供的产品在质量、价格、服务等落后于同类行业水平，且在规定期限内整改也达不到同类行业水平；</w:t>
      </w:r>
    </w:p>
    <w:p w14:paraId="2A58A079"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5、 每年一次评定不符合要求或评定分数低于70分且所供物料有替代供应商的；</w:t>
      </w:r>
    </w:p>
    <w:p w14:paraId="2511125B"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6、为了降低成本等，故意以次充好，降低品质，影响我公司产品质量的；</w:t>
      </w:r>
    </w:p>
    <w:p w14:paraId="1AFA0314"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7、供货期限内自身资质出现问题；</w:t>
      </w:r>
    </w:p>
    <w:p w14:paraId="0454DDD3"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8、在服务过程中被多次投诉，且无诚意进行整改或整改不符合要求的；</w:t>
      </w:r>
    </w:p>
    <w:p w14:paraId="46CEAD09"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9、违背合同或质量协议，且经警告仍不能有效整改的，或者不能履行违约责任的；</w:t>
      </w:r>
    </w:p>
    <w:p w14:paraId="01D113C1"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10、违背合同或质量协议，对公司造成损失或者重大不良影响的，比如断货；</w:t>
      </w:r>
    </w:p>
    <w:p w14:paraId="4CEF92A7"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lastRenderedPageBreak/>
        <w:t>11、弄虚作假、不按标准要求供货、故意降低品质或者采取不正当竞争手段的；</w:t>
      </w:r>
    </w:p>
    <w:p w14:paraId="1DD9EBB6"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12、采用不正当手段贿赂或欺骗企业人员，违反廉洁承诺，严重损害公司利益的；</w:t>
      </w:r>
    </w:p>
    <w:p w14:paraId="4C3463D5" w14:textId="77777777" w:rsidR="001C6709" w:rsidRDefault="00A75DF5">
      <w:pPr>
        <w:spacing w:line="400" w:lineRule="exact"/>
        <w:rPr>
          <w:rFonts w:ascii="华文细黑" w:eastAsia="华文细黑" w:hAnsi="华文细黑"/>
          <w:sz w:val="24"/>
        </w:rPr>
      </w:pPr>
      <w:r>
        <w:rPr>
          <w:rFonts w:ascii="华文细黑" w:eastAsia="华文细黑" w:hAnsi="华文细黑" w:hint="eastAsia"/>
          <w:sz w:val="24"/>
        </w:rPr>
        <w:t>供应商的供货资格取消工作由供应链管理部负责组织实施，重要材料供应商及重点供应商的取消应报总裁室同意后实施。</w:t>
      </w:r>
    </w:p>
    <w:p w14:paraId="10E6BD7F" w14:textId="77777777" w:rsidR="001C6709" w:rsidRDefault="001C6709">
      <w:pPr>
        <w:spacing w:line="400" w:lineRule="exact"/>
        <w:rPr>
          <w:rFonts w:ascii="华文细黑" w:eastAsia="华文细黑" w:hAnsi="华文细黑"/>
          <w:sz w:val="24"/>
        </w:rPr>
      </w:pPr>
    </w:p>
    <w:p w14:paraId="67F3FC4A" w14:textId="5ECDF1A2" w:rsidR="001C6709" w:rsidRPr="009951BA" w:rsidRDefault="00A75DF5" w:rsidP="009951BA">
      <w:pPr>
        <w:spacing w:line="400" w:lineRule="exact"/>
        <w:jc w:val="right"/>
        <w:rPr>
          <w:rFonts w:ascii="华文细黑" w:eastAsia="华文细黑" w:hAnsi="华文细黑"/>
          <w:sz w:val="24"/>
        </w:rPr>
      </w:pPr>
      <w:r>
        <w:rPr>
          <w:rFonts w:ascii="华文细黑" w:eastAsia="华文细黑" w:hAnsi="华文细黑" w:hint="eastAsia"/>
          <w:sz w:val="24"/>
        </w:rPr>
        <w:t>江苏万邦生化医药集团有限责任公司</w:t>
      </w:r>
      <w:bookmarkStart w:id="1" w:name="_GoBack"/>
      <w:bookmarkEnd w:id="1"/>
    </w:p>
    <w:sectPr w:rsidR="001C6709" w:rsidRPr="009951BA">
      <w:headerReference w:type="default" r:id="rId9"/>
      <w:footerReference w:type="default" r:id="rId10"/>
      <w:pgSz w:w="11906" w:h="16838"/>
      <w:pgMar w:top="1440" w:right="1797" w:bottom="1440" w:left="1797" w:header="1134"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C1A7" w14:textId="77777777" w:rsidR="0023282B" w:rsidRDefault="0023282B">
      <w:r>
        <w:separator/>
      </w:r>
    </w:p>
  </w:endnote>
  <w:endnote w:type="continuationSeparator" w:id="0">
    <w:p w14:paraId="1BBD6C00" w14:textId="77777777" w:rsidR="0023282B" w:rsidRDefault="0023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3993"/>
      <w:docPartObj>
        <w:docPartGallery w:val="AutoText"/>
      </w:docPartObj>
    </w:sdtPr>
    <w:sdtEndPr>
      <w:rPr>
        <w:rFonts w:asciiTheme="minorEastAsia" w:eastAsiaTheme="minorEastAsia" w:hAnsiTheme="minorEastAsia"/>
        <w:sz w:val="21"/>
        <w:szCs w:val="21"/>
      </w:rPr>
    </w:sdtEndPr>
    <w:sdtContent>
      <w:p w14:paraId="5110831B" w14:textId="768EFC8A" w:rsidR="003411EC" w:rsidRDefault="003411EC">
        <w:pPr>
          <w:pStyle w:val="ac"/>
          <w:jc w:val="right"/>
          <w:rPr>
            <w:rFonts w:asciiTheme="minorEastAsia" w:eastAsiaTheme="minorEastAsia" w:hAnsiTheme="minorEastAsia"/>
            <w:sz w:val="21"/>
            <w:szCs w:val="21"/>
          </w:rPr>
        </w:pP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PAGE   \* MERGEFORMAT</w:instrText>
        </w:r>
        <w:r>
          <w:rPr>
            <w:rFonts w:asciiTheme="minorEastAsia" w:eastAsiaTheme="minorEastAsia" w:hAnsiTheme="minorEastAsia"/>
            <w:sz w:val="21"/>
            <w:szCs w:val="21"/>
          </w:rPr>
          <w:fldChar w:fldCharType="separate"/>
        </w:r>
        <w:r w:rsidR="008570A0" w:rsidRPr="008570A0">
          <w:rPr>
            <w:rFonts w:asciiTheme="minorEastAsia" w:eastAsiaTheme="minorEastAsia" w:hAnsiTheme="minorEastAsia"/>
            <w:noProof/>
            <w:sz w:val="21"/>
            <w:szCs w:val="21"/>
            <w:lang w:val="zh-CN"/>
          </w:rPr>
          <w:t>2</w:t>
        </w:r>
        <w:r>
          <w:rPr>
            <w:rFonts w:asciiTheme="minorEastAsia" w:eastAsiaTheme="minorEastAsia" w:hAnsiTheme="minorEastAsia"/>
            <w:sz w:val="21"/>
            <w:szCs w:val="21"/>
          </w:rPr>
          <w:fldChar w:fldCharType="end"/>
        </w:r>
      </w:p>
    </w:sdtContent>
  </w:sdt>
  <w:p w14:paraId="01827D53" w14:textId="77777777" w:rsidR="003411EC" w:rsidRDefault="003411E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61A96" w14:textId="77777777" w:rsidR="0023282B" w:rsidRDefault="0023282B">
      <w:r>
        <w:separator/>
      </w:r>
    </w:p>
  </w:footnote>
  <w:footnote w:type="continuationSeparator" w:id="0">
    <w:p w14:paraId="160F935F" w14:textId="77777777" w:rsidR="0023282B" w:rsidRDefault="002328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31AC" w14:textId="77777777" w:rsidR="003411EC" w:rsidRDefault="003411EC">
    <w:pPr>
      <w:rPr>
        <w:rFonts w:ascii="黑体" w:eastAsia="黑体" w:hAnsi="黑体"/>
        <w:sz w:val="24"/>
      </w:rPr>
    </w:pPr>
    <w:r>
      <w:rPr>
        <w:noProof/>
        <w:sz w:val="24"/>
      </w:rPr>
      <w:drawing>
        <wp:anchor distT="0" distB="0" distL="114300" distR="114300" simplePos="0" relativeHeight="251657216" behindDoc="0" locked="0" layoutInCell="1" allowOverlap="1" wp14:anchorId="719C3829" wp14:editId="11237CCD">
          <wp:simplePos x="0" y="0"/>
          <wp:positionH relativeFrom="column">
            <wp:posOffset>3115945</wp:posOffset>
          </wp:positionH>
          <wp:positionV relativeFrom="paragraph">
            <wp:posOffset>-90805</wp:posOffset>
          </wp:positionV>
          <wp:extent cx="2505075" cy="295275"/>
          <wp:effectExtent l="0" t="0" r="9525" b="9525"/>
          <wp:wrapTopAndBottom/>
          <wp:docPr id="3" name="图片 3" descr="1128联标形式-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28联标形式-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05075" cy="295275"/>
                  </a:xfrm>
                  <a:prstGeom prst="rect">
                    <a:avLst/>
                  </a:prstGeom>
                  <a:noFill/>
                  <a:ln>
                    <a:noFill/>
                  </a:ln>
                </pic:spPr>
              </pic:pic>
            </a:graphicData>
          </a:graphic>
        </wp:anchor>
      </w:drawing>
    </w:r>
    <w:r>
      <w:rPr>
        <w:rFonts w:ascii="黑体" w:eastAsia="黑体" w:hAnsi="黑体" w:hint="eastAsia"/>
        <w:sz w:val="24"/>
      </w:rPr>
      <w:t>WB/SD00</w:t>
    </w:r>
    <w:r>
      <w:rPr>
        <w:rFonts w:ascii="黑体" w:eastAsia="黑体" w:hAnsi="黑体"/>
        <w:sz w:val="24"/>
      </w:rPr>
      <w:t>2</w:t>
    </w:r>
    <w:r>
      <w:rPr>
        <w:rFonts w:ascii="黑体" w:eastAsia="黑体" w:hAnsi="黑体" w:hint="eastAsia"/>
        <w:sz w:val="24"/>
      </w:rPr>
      <w:t>-20</w:t>
    </w:r>
    <w:r>
      <w:rPr>
        <w:rFonts w:ascii="黑体" w:eastAsia="黑体" w:hAnsi="黑体"/>
        <w:sz w:val="24"/>
      </w:rPr>
      <w:t>23</w:t>
    </w:r>
    <w:r>
      <w:rPr>
        <w:rFonts w:ascii="黑体" w:eastAsia="黑体" w:hAnsi="黑体" w:hint="eastAsia"/>
        <w:sz w:val="24"/>
      </w:rPr>
      <w:t>（</w:t>
    </w:r>
    <w:r>
      <w:rPr>
        <w:rFonts w:ascii="黑体" w:eastAsia="黑体" w:hAnsi="黑体"/>
        <w:sz w:val="24"/>
      </w:rPr>
      <w:t>B</w:t>
    </w:r>
    <w:r>
      <w:rPr>
        <w:rFonts w:ascii="黑体" w:eastAsia="黑体" w:hAnsi="黑体" w:hint="eastAsia"/>
        <w:sz w:val="24"/>
      </w:rPr>
      <w:t>）</w:t>
    </w:r>
  </w:p>
  <w:p w14:paraId="56BF5485" w14:textId="77777777" w:rsidR="003411EC" w:rsidRDefault="003411EC">
    <w:pPr>
      <w:pStyle w:val="ae"/>
      <w:pBdr>
        <w:bottom w:val="none" w:sz="0" w:space="0" w:color="auto"/>
      </w:pBdr>
      <w:tabs>
        <w:tab w:val="clear" w:pos="4153"/>
        <w:tab w:val="clear" w:pos="8306"/>
      </w:tabs>
      <w:ind w:right="16200"/>
      <w:jc w:val="right"/>
    </w:pPr>
  </w:p>
  <w:p w14:paraId="051A65A3" w14:textId="77777777" w:rsidR="003411EC" w:rsidRDefault="003411EC">
    <w:pPr>
      <w:pStyle w:val="ae"/>
      <w:pBdr>
        <w:bottom w:val="none" w:sz="0" w:space="0" w:color="auto"/>
      </w:pBdr>
      <w:tabs>
        <w:tab w:val="clear" w:pos="4153"/>
        <w:tab w:val="clear" w:pos="8306"/>
      </w:tabs>
      <w:ind w:right="165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967B7"/>
    <w:multiLevelType w:val="singleLevel"/>
    <w:tmpl w:val="D17967B7"/>
    <w:lvl w:ilvl="0">
      <w:start w:val="1"/>
      <w:numFmt w:val="chineseCounting"/>
      <w:suff w:val="space"/>
      <w:lvlText w:val="第%1条"/>
      <w:lvlJc w:val="left"/>
      <w:rPr>
        <w:rFonts w:hint="eastAsia"/>
        <w:lang w:val="en-US"/>
      </w:rPr>
    </w:lvl>
  </w:abstractNum>
  <w:abstractNum w:abstractNumId="1" w15:restartNumberingAfterBreak="0">
    <w:nsid w:val="20102D62"/>
    <w:multiLevelType w:val="singleLevel"/>
    <w:tmpl w:val="20102D62"/>
    <w:lvl w:ilvl="0">
      <w:start w:val="1"/>
      <w:numFmt w:val="japaneseCounting"/>
      <w:lvlText w:val="第%1款"/>
      <w:lvlJc w:val="left"/>
      <w:pPr>
        <w:tabs>
          <w:tab w:val="left" w:pos="930"/>
        </w:tabs>
        <w:ind w:left="930" w:hanging="720"/>
      </w:pPr>
    </w:lvl>
  </w:abstractNum>
  <w:abstractNum w:abstractNumId="2" w15:restartNumberingAfterBreak="0">
    <w:nsid w:val="2CA167FC"/>
    <w:multiLevelType w:val="multilevel"/>
    <w:tmpl w:val="2CA167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CC31A1"/>
    <w:multiLevelType w:val="singleLevel"/>
    <w:tmpl w:val="2DCC31A1"/>
    <w:lvl w:ilvl="0">
      <w:start w:val="1"/>
      <w:numFmt w:val="chineseCounting"/>
      <w:suff w:val="space"/>
      <w:lvlText w:val="第%1条"/>
      <w:lvlJc w:val="left"/>
      <w:rPr>
        <w:rFonts w:hint="eastAsia"/>
        <w:lang w:val="en-US"/>
      </w:rPr>
    </w:lvl>
  </w:abstractNum>
  <w:abstractNum w:abstractNumId="4" w15:restartNumberingAfterBreak="0">
    <w:nsid w:val="39181BED"/>
    <w:multiLevelType w:val="multilevel"/>
    <w:tmpl w:val="39181BED"/>
    <w:lvl w:ilvl="0">
      <w:start w:val="1"/>
      <w:numFmt w:val="decimal"/>
      <w:pStyle w:val="1"/>
      <w:isLgl/>
      <w:lvlText w:val="%1."/>
      <w:lvlJc w:val="left"/>
      <w:pPr>
        <w:tabs>
          <w:tab w:val="left" w:pos="340"/>
        </w:tabs>
        <w:ind w:left="340" w:hanging="340"/>
      </w:pPr>
      <w:rPr>
        <w:rFonts w:ascii="Arial" w:eastAsia="宋体" w:hAnsi="Arial" w:hint="default"/>
        <w:bCs w:val="0"/>
        <w:iCs w:val="0"/>
        <w:kern w:val="0"/>
      </w:rPr>
    </w:lvl>
    <w:lvl w:ilvl="1">
      <w:start w:val="1"/>
      <w:numFmt w:val="decimal"/>
      <w:pStyle w:val="2"/>
      <w:lvlText w:val="%1.%2"/>
      <w:lvlJc w:val="left"/>
      <w:pPr>
        <w:tabs>
          <w:tab w:val="left" w:pos="709"/>
        </w:tabs>
        <w:ind w:left="709" w:hanging="567"/>
      </w:pPr>
      <w:rPr>
        <w:rFonts w:ascii="Times New Roman" w:eastAsia="宋体" w:hAnsi="Times New Roman" w:cs="Times New Roman" w:hint="default"/>
        <w:b/>
      </w:rPr>
    </w:lvl>
    <w:lvl w:ilvl="2">
      <w:start w:val="1"/>
      <w:numFmt w:val="decimal"/>
      <w:pStyle w:val="3"/>
      <w:lvlText w:val="%1.%2.%3"/>
      <w:lvlJc w:val="left"/>
      <w:pPr>
        <w:tabs>
          <w:tab w:val="left" w:pos="851"/>
        </w:tabs>
        <w:ind w:left="851" w:hanging="851"/>
      </w:pPr>
      <w:rPr>
        <w:rFonts w:ascii="Times New Roman" w:eastAsia="宋体" w:hAnsi="Times New Roman" w:cs="Times New Roman" w:hint="default"/>
      </w:rPr>
    </w:lvl>
    <w:lvl w:ilvl="3">
      <w:start w:val="1"/>
      <w:numFmt w:val="decimal"/>
      <w:pStyle w:val="4"/>
      <w:lvlText w:val="%1.%2.%3.%4"/>
      <w:lvlJc w:val="left"/>
      <w:pPr>
        <w:tabs>
          <w:tab w:val="left" w:pos="1134"/>
        </w:tabs>
        <w:ind w:left="1134" w:hanging="1134"/>
      </w:pPr>
      <w:rPr>
        <w:rFonts w:ascii="Arial" w:hAnsi="Arial" w:cs="Arial" w:hint="default"/>
        <w:b w:val="0"/>
        <w:bCs w:val="0"/>
        <w:i w:val="0"/>
        <w:iCs w:val="0"/>
        <w:caps w:val="0"/>
        <w:smallCaps w:val="0"/>
        <w:strike w:val="0"/>
        <w:dstrike w:val="0"/>
        <w:vanish w:val="0"/>
        <w:spacing w:val="0"/>
        <w:kern w:val="0"/>
        <w:position w:val="0"/>
        <w:u w:val="none"/>
        <w:vertAlign w:val="baseline"/>
      </w:rPr>
    </w:lvl>
    <w:lvl w:ilvl="4">
      <w:start w:val="1"/>
      <w:numFmt w:val="lowerLetter"/>
      <w:pStyle w:val="5"/>
      <w:lvlText w:val="%3䩑⡯䜀⃊䩃䩏䩐&#10;䩑䡳Љ䡴䩡䡟Ё쩇䌠ᡊ伀Ŋ倀ൊ儀Ŋ"/>
      <w:lvlJc w:val="left"/>
      <w:pPr>
        <w:tabs>
          <w:tab w:val="left" w:pos="1559"/>
        </w:tabs>
        <w:ind w:left="1559" w:hanging="283"/>
      </w:pPr>
    </w:lvl>
    <w:lvl w:ilvl="5">
      <w:numFmt w:val="decimal"/>
      <w:pStyle w:val="6"/>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D25078"/>
    <w:multiLevelType w:val="multilevel"/>
    <w:tmpl w:val="2CA167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3C2FB7"/>
    <w:multiLevelType w:val="singleLevel"/>
    <w:tmpl w:val="513C2FB7"/>
    <w:lvl w:ilvl="0">
      <w:start w:val="1"/>
      <w:numFmt w:val="japaneseCounting"/>
      <w:lvlText w:val="第%1款"/>
      <w:lvlJc w:val="left"/>
      <w:pPr>
        <w:tabs>
          <w:tab w:val="left" w:pos="930"/>
        </w:tabs>
        <w:ind w:left="930" w:hanging="720"/>
      </w:pPr>
    </w:lvl>
  </w:abstractNum>
  <w:abstractNum w:abstractNumId="7" w15:restartNumberingAfterBreak="0">
    <w:nsid w:val="67D81AFA"/>
    <w:multiLevelType w:val="singleLevel"/>
    <w:tmpl w:val="67D81AFA"/>
    <w:lvl w:ilvl="0">
      <w:start w:val="1"/>
      <w:numFmt w:val="japaneseCounting"/>
      <w:lvlText w:val="第%1条"/>
      <w:lvlJc w:val="left"/>
      <w:pPr>
        <w:tabs>
          <w:tab w:val="left" w:pos="930"/>
        </w:tabs>
        <w:ind w:left="930" w:hanging="720"/>
      </w:pPr>
    </w:lvl>
  </w:abstractNum>
  <w:abstractNum w:abstractNumId="8" w15:restartNumberingAfterBreak="0">
    <w:nsid w:val="76C47FD2"/>
    <w:multiLevelType w:val="hybridMultilevel"/>
    <w:tmpl w:val="4044D3EA"/>
    <w:lvl w:ilvl="0" w:tplc="BCACC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7"/>
  </w:num>
  <w:num w:numId="5">
    <w:abstractNumId w:val="6"/>
  </w:num>
  <w:num w:numId="6">
    <w:abstractNumId w:val="1"/>
  </w:num>
  <w:num w:numId="7">
    <w:abstractNumId w:val="3"/>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3A"/>
    <w:rsid w:val="00005B72"/>
    <w:rsid w:val="0000766F"/>
    <w:rsid w:val="000079E8"/>
    <w:rsid w:val="000113D9"/>
    <w:rsid w:val="00017859"/>
    <w:rsid w:val="00021056"/>
    <w:rsid w:val="00025AF0"/>
    <w:rsid w:val="00031680"/>
    <w:rsid w:val="00036DA4"/>
    <w:rsid w:val="00037276"/>
    <w:rsid w:val="00037657"/>
    <w:rsid w:val="00044081"/>
    <w:rsid w:val="00045D67"/>
    <w:rsid w:val="000464C3"/>
    <w:rsid w:val="000511F1"/>
    <w:rsid w:val="000649FB"/>
    <w:rsid w:val="00073B49"/>
    <w:rsid w:val="00086A73"/>
    <w:rsid w:val="000902DD"/>
    <w:rsid w:val="00092624"/>
    <w:rsid w:val="00092A86"/>
    <w:rsid w:val="000938E9"/>
    <w:rsid w:val="00097C9B"/>
    <w:rsid w:val="000A6BB2"/>
    <w:rsid w:val="000B74EE"/>
    <w:rsid w:val="000C0E7D"/>
    <w:rsid w:val="000C3DC3"/>
    <w:rsid w:val="000C4C33"/>
    <w:rsid w:val="000F3079"/>
    <w:rsid w:val="000F7C15"/>
    <w:rsid w:val="001004AE"/>
    <w:rsid w:val="00100F70"/>
    <w:rsid w:val="0011039E"/>
    <w:rsid w:val="00110EE7"/>
    <w:rsid w:val="00116DB3"/>
    <w:rsid w:val="001266DD"/>
    <w:rsid w:val="001306F6"/>
    <w:rsid w:val="00132E38"/>
    <w:rsid w:val="00134108"/>
    <w:rsid w:val="00135C0A"/>
    <w:rsid w:val="00142107"/>
    <w:rsid w:val="001421B6"/>
    <w:rsid w:val="00144DBB"/>
    <w:rsid w:val="001459CA"/>
    <w:rsid w:val="0014756E"/>
    <w:rsid w:val="00160589"/>
    <w:rsid w:val="00162B32"/>
    <w:rsid w:val="00171795"/>
    <w:rsid w:val="001723D0"/>
    <w:rsid w:val="001747A8"/>
    <w:rsid w:val="001775BC"/>
    <w:rsid w:val="001869BA"/>
    <w:rsid w:val="00192AA6"/>
    <w:rsid w:val="00196AD2"/>
    <w:rsid w:val="001A3DA2"/>
    <w:rsid w:val="001A4E0D"/>
    <w:rsid w:val="001C352C"/>
    <w:rsid w:val="001C6709"/>
    <w:rsid w:val="001D0689"/>
    <w:rsid w:val="001D743A"/>
    <w:rsid w:val="001D7DF4"/>
    <w:rsid w:val="001E2B05"/>
    <w:rsid w:val="001E37CB"/>
    <w:rsid w:val="00207B41"/>
    <w:rsid w:val="002106A5"/>
    <w:rsid w:val="00230152"/>
    <w:rsid w:val="0023282B"/>
    <w:rsid w:val="00233DBF"/>
    <w:rsid w:val="00242AC3"/>
    <w:rsid w:val="00247BE4"/>
    <w:rsid w:val="00252340"/>
    <w:rsid w:val="00256063"/>
    <w:rsid w:val="00271477"/>
    <w:rsid w:val="0027255C"/>
    <w:rsid w:val="002802BD"/>
    <w:rsid w:val="002804BC"/>
    <w:rsid w:val="002811A5"/>
    <w:rsid w:val="00284060"/>
    <w:rsid w:val="00293E77"/>
    <w:rsid w:val="002A003E"/>
    <w:rsid w:val="002A13D4"/>
    <w:rsid w:val="002B628C"/>
    <w:rsid w:val="002C0130"/>
    <w:rsid w:val="002D194D"/>
    <w:rsid w:val="002D1CB9"/>
    <w:rsid w:val="002F0AE6"/>
    <w:rsid w:val="002F2DB6"/>
    <w:rsid w:val="002F4920"/>
    <w:rsid w:val="003033C4"/>
    <w:rsid w:val="003074E0"/>
    <w:rsid w:val="00307DE7"/>
    <w:rsid w:val="00317400"/>
    <w:rsid w:val="00322EB1"/>
    <w:rsid w:val="003253A7"/>
    <w:rsid w:val="003266FA"/>
    <w:rsid w:val="00333446"/>
    <w:rsid w:val="003411EC"/>
    <w:rsid w:val="003434CA"/>
    <w:rsid w:val="0034400A"/>
    <w:rsid w:val="003443BD"/>
    <w:rsid w:val="003476FE"/>
    <w:rsid w:val="00362693"/>
    <w:rsid w:val="00366751"/>
    <w:rsid w:val="003715EB"/>
    <w:rsid w:val="0037438F"/>
    <w:rsid w:val="00380763"/>
    <w:rsid w:val="00380776"/>
    <w:rsid w:val="00391428"/>
    <w:rsid w:val="003A0D65"/>
    <w:rsid w:val="003B0567"/>
    <w:rsid w:val="003B6DA2"/>
    <w:rsid w:val="003B7932"/>
    <w:rsid w:val="003C3269"/>
    <w:rsid w:val="003C35F9"/>
    <w:rsid w:val="003C6D13"/>
    <w:rsid w:val="003D1B89"/>
    <w:rsid w:val="003D2E24"/>
    <w:rsid w:val="003D47D7"/>
    <w:rsid w:val="003E07EF"/>
    <w:rsid w:val="003E19A6"/>
    <w:rsid w:val="003E6A11"/>
    <w:rsid w:val="003F292D"/>
    <w:rsid w:val="0040226F"/>
    <w:rsid w:val="00403A95"/>
    <w:rsid w:val="00407E18"/>
    <w:rsid w:val="004125C9"/>
    <w:rsid w:val="00414D4E"/>
    <w:rsid w:val="004167CE"/>
    <w:rsid w:val="00420F15"/>
    <w:rsid w:val="00422E13"/>
    <w:rsid w:val="00425C97"/>
    <w:rsid w:val="004275F7"/>
    <w:rsid w:val="00432B41"/>
    <w:rsid w:val="00435F66"/>
    <w:rsid w:val="00451BEC"/>
    <w:rsid w:val="004525A5"/>
    <w:rsid w:val="00470BDB"/>
    <w:rsid w:val="004716C6"/>
    <w:rsid w:val="00472BA6"/>
    <w:rsid w:val="00473B7A"/>
    <w:rsid w:val="00484CAD"/>
    <w:rsid w:val="004861DD"/>
    <w:rsid w:val="00490DB6"/>
    <w:rsid w:val="00493D9F"/>
    <w:rsid w:val="00494F59"/>
    <w:rsid w:val="00495BD0"/>
    <w:rsid w:val="004A2358"/>
    <w:rsid w:val="004B6D2F"/>
    <w:rsid w:val="004B7285"/>
    <w:rsid w:val="004E7DFD"/>
    <w:rsid w:val="004F081C"/>
    <w:rsid w:val="004F08E9"/>
    <w:rsid w:val="004F102B"/>
    <w:rsid w:val="004F3FA3"/>
    <w:rsid w:val="004F5F35"/>
    <w:rsid w:val="00507C6E"/>
    <w:rsid w:val="005108E7"/>
    <w:rsid w:val="00514F05"/>
    <w:rsid w:val="005150E8"/>
    <w:rsid w:val="00520FBD"/>
    <w:rsid w:val="0053130A"/>
    <w:rsid w:val="00533928"/>
    <w:rsid w:val="00537528"/>
    <w:rsid w:val="0054380C"/>
    <w:rsid w:val="00544183"/>
    <w:rsid w:val="0054563E"/>
    <w:rsid w:val="00564430"/>
    <w:rsid w:val="005679D1"/>
    <w:rsid w:val="005717BF"/>
    <w:rsid w:val="00576B54"/>
    <w:rsid w:val="00581F16"/>
    <w:rsid w:val="0058441A"/>
    <w:rsid w:val="00584DD7"/>
    <w:rsid w:val="005853B8"/>
    <w:rsid w:val="00587AF1"/>
    <w:rsid w:val="00595172"/>
    <w:rsid w:val="005A2580"/>
    <w:rsid w:val="005B5176"/>
    <w:rsid w:val="005C7968"/>
    <w:rsid w:val="005C7C58"/>
    <w:rsid w:val="005D6807"/>
    <w:rsid w:val="005E6D28"/>
    <w:rsid w:val="005F0CFC"/>
    <w:rsid w:val="005F69E7"/>
    <w:rsid w:val="00601355"/>
    <w:rsid w:val="00602AE9"/>
    <w:rsid w:val="006036A8"/>
    <w:rsid w:val="00607F63"/>
    <w:rsid w:val="00611A4F"/>
    <w:rsid w:val="00612534"/>
    <w:rsid w:val="00615541"/>
    <w:rsid w:val="0062434D"/>
    <w:rsid w:val="006243E6"/>
    <w:rsid w:val="0062571F"/>
    <w:rsid w:val="00632D5D"/>
    <w:rsid w:val="00644FFE"/>
    <w:rsid w:val="00650E09"/>
    <w:rsid w:val="0065340D"/>
    <w:rsid w:val="00656393"/>
    <w:rsid w:val="00662639"/>
    <w:rsid w:val="00662658"/>
    <w:rsid w:val="0066435F"/>
    <w:rsid w:val="00666403"/>
    <w:rsid w:val="0067004A"/>
    <w:rsid w:val="00676122"/>
    <w:rsid w:val="0067679C"/>
    <w:rsid w:val="00683908"/>
    <w:rsid w:val="006856CE"/>
    <w:rsid w:val="006879F8"/>
    <w:rsid w:val="006B28E4"/>
    <w:rsid w:val="006B324F"/>
    <w:rsid w:val="006B4DFC"/>
    <w:rsid w:val="006B7449"/>
    <w:rsid w:val="006C0106"/>
    <w:rsid w:val="006C158E"/>
    <w:rsid w:val="006D3C01"/>
    <w:rsid w:val="006E248C"/>
    <w:rsid w:val="006F261B"/>
    <w:rsid w:val="006F7D51"/>
    <w:rsid w:val="00712114"/>
    <w:rsid w:val="007126C6"/>
    <w:rsid w:val="00723B55"/>
    <w:rsid w:val="00730F8F"/>
    <w:rsid w:val="00731B85"/>
    <w:rsid w:val="007352FD"/>
    <w:rsid w:val="00740183"/>
    <w:rsid w:val="00742ECB"/>
    <w:rsid w:val="007574D6"/>
    <w:rsid w:val="00762836"/>
    <w:rsid w:val="00765BA2"/>
    <w:rsid w:val="007660CF"/>
    <w:rsid w:val="00771040"/>
    <w:rsid w:val="00774688"/>
    <w:rsid w:val="007759F8"/>
    <w:rsid w:val="00782E77"/>
    <w:rsid w:val="0078308D"/>
    <w:rsid w:val="007A036F"/>
    <w:rsid w:val="007A19EA"/>
    <w:rsid w:val="007A5A0A"/>
    <w:rsid w:val="007C46A2"/>
    <w:rsid w:val="007D276B"/>
    <w:rsid w:val="007E2F06"/>
    <w:rsid w:val="007E7A97"/>
    <w:rsid w:val="007F3F02"/>
    <w:rsid w:val="00805321"/>
    <w:rsid w:val="00820F11"/>
    <w:rsid w:val="00821D9F"/>
    <w:rsid w:val="00823509"/>
    <w:rsid w:val="0082798F"/>
    <w:rsid w:val="00830DB2"/>
    <w:rsid w:val="00831140"/>
    <w:rsid w:val="008508A4"/>
    <w:rsid w:val="00853372"/>
    <w:rsid w:val="00855F6F"/>
    <w:rsid w:val="008570A0"/>
    <w:rsid w:val="0086117F"/>
    <w:rsid w:val="008661BE"/>
    <w:rsid w:val="00872F9C"/>
    <w:rsid w:val="00877599"/>
    <w:rsid w:val="0088789A"/>
    <w:rsid w:val="0089254D"/>
    <w:rsid w:val="00893E5E"/>
    <w:rsid w:val="00893FC5"/>
    <w:rsid w:val="00894EB0"/>
    <w:rsid w:val="008A66DB"/>
    <w:rsid w:val="008B174F"/>
    <w:rsid w:val="008B5174"/>
    <w:rsid w:val="008C271F"/>
    <w:rsid w:val="008C459F"/>
    <w:rsid w:val="008E02C0"/>
    <w:rsid w:val="008F1CA0"/>
    <w:rsid w:val="008F73EE"/>
    <w:rsid w:val="00901579"/>
    <w:rsid w:val="00905391"/>
    <w:rsid w:val="009107B4"/>
    <w:rsid w:val="0091596E"/>
    <w:rsid w:val="0093072B"/>
    <w:rsid w:val="00937303"/>
    <w:rsid w:val="00941704"/>
    <w:rsid w:val="00947427"/>
    <w:rsid w:val="0095749D"/>
    <w:rsid w:val="00960A5C"/>
    <w:rsid w:val="00962F3E"/>
    <w:rsid w:val="00965C15"/>
    <w:rsid w:val="00985E90"/>
    <w:rsid w:val="00992478"/>
    <w:rsid w:val="00992902"/>
    <w:rsid w:val="009951BA"/>
    <w:rsid w:val="009A3917"/>
    <w:rsid w:val="009B4AE3"/>
    <w:rsid w:val="009C52C2"/>
    <w:rsid w:val="009D36FC"/>
    <w:rsid w:val="009D394A"/>
    <w:rsid w:val="009E1E59"/>
    <w:rsid w:val="009F0209"/>
    <w:rsid w:val="00A0191E"/>
    <w:rsid w:val="00A06C4F"/>
    <w:rsid w:val="00A10416"/>
    <w:rsid w:val="00A34F11"/>
    <w:rsid w:val="00A3553E"/>
    <w:rsid w:val="00A37CC2"/>
    <w:rsid w:val="00A40B26"/>
    <w:rsid w:val="00A509F7"/>
    <w:rsid w:val="00A55E11"/>
    <w:rsid w:val="00A57CCE"/>
    <w:rsid w:val="00A70CF3"/>
    <w:rsid w:val="00A71A3D"/>
    <w:rsid w:val="00A7470F"/>
    <w:rsid w:val="00A75DF5"/>
    <w:rsid w:val="00A80F40"/>
    <w:rsid w:val="00A85944"/>
    <w:rsid w:val="00A85F57"/>
    <w:rsid w:val="00A92089"/>
    <w:rsid w:val="00AB61BA"/>
    <w:rsid w:val="00AC3F2E"/>
    <w:rsid w:val="00AD4570"/>
    <w:rsid w:val="00AD7970"/>
    <w:rsid w:val="00AE312C"/>
    <w:rsid w:val="00AE486E"/>
    <w:rsid w:val="00AF74A5"/>
    <w:rsid w:val="00B02ECD"/>
    <w:rsid w:val="00B05AFD"/>
    <w:rsid w:val="00B1779B"/>
    <w:rsid w:val="00B20B9C"/>
    <w:rsid w:val="00B254EF"/>
    <w:rsid w:val="00B27CFC"/>
    <w:rsid w:val="00B33647"/>
    <w:rsid w:val="00B356D4"/>
    <w:rsid w:val="00B43AD4"/>
    <w:rsid w:val="00B47E6C"/>
    <w:rsid w:val="00B553A6"/>
    <w:rsid w:val="00B66950"/>
    <w:rsid w:val="00B66AA6"/>
    <w:rsid w:val="00B71D64"/>
    <w:rsid w:val="00B7682A"/>
    <w:rsid w:val="00B8173C"/>
    <w:rsid w:val="00B967ED"/>
    <w:rsid w:val="00BA2900"/>
    <w:rsid w:val="00BA39F3"/>
    <w:rsid w:val="00BB3928"/>
    <w:rsid w:val="00BC3772"/>
    <w:rsid w:val="00BD0E22"/>
    <w:rsid w:val="00BD1754"/>
    <w:rsid w:val="00BD49CB"/>
    <w:rsid w:val="00BD7E95"/>
    <w:rsid w:val="00BE34C1"/>
    <w:rsid w:val="00BE457E"/>
    <w:rsid w:val="00BF5B1F"/>
    <w:rsid w:val="00C00B0F"/>
    <w:rsid w:val="00C01219"/>
    <w:rsid w:val="00C07FC0"/>
    <w:rsid w:val="00C10F4D"/>
    <w:rsid w:val="00C12466"/>
    <w:rsid w:val="00C13DB6"/>
    <w:rsid w:val="00C1427D"/>
    <w:rsid w:val="00C213F5"/>
    <w:rsid w:val="00C226EE"/>
    <w:rsid w:val="00C22E3C"/>
    <w:rsid w:val="00C2614F"/>
    <w:rsid w:val="00C264B9"/>
    <w:rsid w:val="00C27DC6"/>
    <w:rsid w:val="00C3011C"/>
    <w:rsid w:val="00C326B7"/>
    <w:rsid w:val="00C331F7"/>
    <w:rsid w:val="00C35160"/>
    <w:rsid w:val="00C40B5C"/>
    <w:rsid w:val="00C42846"/>
    <w:rsid w:val="00C43B70"/>
    <w:rsid w:val="00C475F3"/>
    <w:rsid w:val="00C51EB4"/>
    <w:rsid w:val="00C53533"/>
    <w:rsid w:val="00C5727E"/>
    <w:rsid w:val="00C608E7"/>
    <w:rsid w:val="00C61551"/>
    <w:rsid w:val="00C6278D"/>
    <w:rsid w:val="00C70BDA"/>
    <w:rsid w:val="00C73ABA"/>
    <w:rsid w:val="00C76FAD"/>
    <w:rsid w:val="00C8022C"/>
    <w:rsid w:val="00C83FA4"/>
    <w:rsid w:val="00C84AFD"/>
    <w:rsid w:val="00C8604E"/>
    <w:rsid w:val="00C873E7"/>
    <w:rsid w:val="00C9036B"/>
    <w:rsid w:val="00C90601"/>
    <w:rsid w:val="00CB05EB"/>
    <w:rsid w:val="00CB3392"/>
    <w:rsid w:val="00CB6EC3"/>
    <w:rsid w:val="00CC2BE7"/>
    <w:rsid w:val="00CC43A4"/>
    <w:rsid w:val="00CD5677"/>
    <w:rsid w:val="00CD65CB"/>
    <w:rsid w:val="00CE3927"/>
    <w:rsid w:val="00D00EBF"/>
    <w:rsid w:val="00D0510A"/>
    <w:rsid w:val="00D10A17"/>
    <w:rsid w:val="00D15781"/>
    <w:rsid w:val="00D35984"/>
    <w:rsid w:val="00D40533"/>
    <w:rsid w:val="00D45163"/>
    <w:rsid w:val="00D45C58"/>
    <w:rsid w:val="00D509CB"/>
    <w:rsid w:val="00D54095"/>
    <w:rsid w:val="00D573D7"/>
    <w:rsid w:val="00D578DC"/>
    <w:rsid w:val="00D60979"/>
    <w:rsid w:val="00D6115B"/>
    <w:rsid w:val="00D62F64"/>
    <w:rsid w:val="00D65F98"/>
    <w:rsid w:val="00D720C1"/>
    <w:rsid w:val="00D72545"/>
    <w:rsid w:val="00D72FB7"/>
    <w:rsid w:val="00D75DDE"/>
    <w:rsid w:val="00D7791B"/>
    <w:rsid w:val="00D80111"/>
    <w:rsid w:val="00D87754"/>
    <w:rsid w:val="00D96263"/>
    <w:rsid w:val="00D962F5"/>
    <w:rsid w:val="00DB05E6"/>
    <w:rsid w:val="00DB3133"/>
    <w:rsid w:val="00DB684D"/>
    <w:rsid w:val="00DB70E0"/>
    <w:rsid w:val="00DC3D07"/>
    <w:rsid w:val="00DD5FEE"/>
    <w:rsid w:val="00DE363E"/>
    <w:rsid w:val="00DE6E0F"/>
    <w:rsid w:val="00DF6D1C"/>
    <w:rsid w:val="00E04CE1"/>
    <w:rsid w:val="00E0799C"/>
    <w:rsid w:val="00E15D6F"/>
    <w:rsid w:val="00E3155D"/>
    <w:rsid w:val="00E31776"/>
    <w:rsid w:val="00E35905"/>
    <w:rsid w:val="00E4174F"/>
    <w:rsid w:val="00E47376"/>
    <w:rsid w:val="00E504D5"/>
    <w:rsid w:val="00E53E67"/>
    <w:rsid w:val="00E60336"/>
    <w:rsid w:val="00E629CF"/>
    <w:rsid w:val="00E64EE7"/>
    <w:rsid w:val="00E81E17"/>
    <w:rsid w:val="00E87A68"/>
    <w:rsid w:val="00E90755"/>
    <w:rsid w:val="00E9296F"/>
    <w:rsid w:val="00E93ABF"/>
    <w:rsid w:val="00E9445C"/>
    <w:rsid w:val="00E94ADB"/>
    <w:rsid w:val="00E9749F"/>
    <w:rsid w:val="00EA2F53"/>
    <w:rsid w:val="00EA7CE4"/>
    <w:rsid w:val="00EC0ABB"/>
    <w:rsid w:val="00EC7789"/>
    <w:rsid w:val="00EE1560"/>
    <w:rsid w:val="00EF2580"/>
    <w:rsid w:val="00EF2F30"/>
    <w:rsid w:val="00EF6E36"/>
    <w:rsid w:val="00EF76C6"/>
    <w:rsid w:val="00EF7BF9"/>
    <w:rsid w:val="00F0362D"/>
    <w:rsid w:val="00F03AAB"/>
    <w:rsid w:val="00F12FCB"/>
    <w:rsid w:val="00F1417A"/>
    <w:rsid w:val="00F162CC"/>
    <w:rsid w:val="00F236DA"/>
    <w:rsid w:val="00F23DAE"/>
    <w:rsid w:val="00F36565"/>
    <w:rsid w:val="00F47EBE"/>
    <w:rsid w:val="00F51ED2"/>
    <w:rsid w:val="00F568FF"/>
    <w:rsid w:val="00F60322"/>
    <w:rsid w:val="00F6372F"/>
    <w:rsid w:val="00F6688E"/>
    <w:rsid w:val="00F70E15"/>
    <w:rsid w:val="00F86702"/>
    <w:rsid w:val="00F91904"/>
    <w:rsid w:val="00F93300"/>
    <w:rsid w:val="00F955F7"/>
    <w:rsid w:val="00F97804"/>
    <w:rsid w:val="00FA113E"/>
    <w:rsid w:val="00FA11FD"/>
    <w:rsid w:val="00FB1D7A"/>
    <w:rsid w:val="00FB5509"/>
    <w:rsid w:val="00FC0763"/>
    <w:rsid w:val="00FC0E15"/>
    <w:rsid w:val="00FC14FB"/>
    <w:rsid w:val="00FC3E43"/>
    <w:rsid w:val="00FE07B5"/>
    <w:rsid w:val="00FE6E62"/>
    <w:rsid w:val="00FF365F"/>
    <w:rsid w:val="00FF4E3B"/>
    <w:rsid w:val="00FF60CC"/>
    <w:rsid w:val="4360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0CB837"/>
  <w15:docId w15:val="{66D5AFFC-9905-48F6-A2CD-5C4E876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numPr>
        <w:numId w:val="1"/>
      </w:numPr>
      <w:tabs>
        <w:tab w:val="left" w:pos="284"/>
      </w:tabs>
      <w:adjustRightInd w:val="0"/>
      <w:jc w:val="left"/>
      <w:textAlignment w:val="baseline"/>
      <w:outlineLvl w:val="0"/>
    </w:pPr>
    <w:rPr>
      <w:rFonts w:ascii="Arial" w:hAnsi="Arial"/>
      <w:b/>
      <w:bCs/>
      <w:kern w:val="44"/>
      <w:sz w:val="24"/>
      <w:lang w:val="zh-CN"/>
    </w:rPr>
  </w:style>
  <w:style w:type="paragraph" w:styleId="2">
    <w:name w:val="heading 2"/>
    <w:basedOn w:val="a"/>
    <w:next w:val="a"/>
    <w:link w:val="20"/>
    <w:qFormat/>
    <w:pPr>
      <w:numPr>
        <w:ilvl w:val="1"/>
        <w:numId w:val="1"/>
      </w:numPr>
      <w:tabs>
        <w:tab w:val="left" w:pos="340"/>
        <w:tab w:val="left" w:pos="567"/>
      </w:tabs>
      <w:adjustRightInd w:val="0"/>
      <w:spacing w:line="300" w:lineRule="auto"/>
      <w:jc w:val="left"/>
      <w:textAlignment w:val="baseline"/>
      <w:outlineLvl w:val="1"/>
    </w:pPr>
    <w:rPr>
      <w:rFonts w:ascii="Arial" w:hAnsi="Arial"/>
      <w:kern w:val="0"/>
      <w:sz w:val="24"/>
      <w:lang w:val="zh-CN" w:eastAsia="zh-TW"/>
    </w:rPr>
  </w:style>
  <w:style w:type="paragraph" w:styleId="3">
    <w:name w:val="heading 3"/>
    <w:basedOn w:val="a"/>
    <w:next w:val="a"/>
    <w:link w:val="30"/>
    <w:qFormat/>
    <w:pPr>
      <w:numPr>
        <w:ilvl w:val="2"/>
        <w:numId w:val="1"/>
      </w:numPr>
      <w:tabs>
        <w:tab w:val="left" w:pos="340"/>
      </w:tabs>
      <w:adjustRightInd w:val="0"/>
      <w:spacing w:line="300" w:lineRule="auto"/>
      <w:jc w:val="left"/>
      <w:textAlignment w:val="baseline"/>
      <w:outlineLvl w:val="2"/>
    </w:pPr>
    <w:rPr>
      <w:rFonts w:ascii="Arial" w:hAnsi="Arial"/>
      <w:kern w:val="0"/>
      <w:sz w:val="24"/>
      <w:lang w:val="zh-CN" w:eastAsia="zh-TW"/>
    </w:rPr>
  </w:style>
  <w:style w:type="paragraph" w:styleId="4">
    <w:name w:val="heading 4"/>
    <w:basedOn w:val="a"/>
    <w:next w:val="a"/>
    <w:link w:val="40"/>
    <w:qFormat/>
    <w:pPr>
      <w:numPr>
        <w:ilvl w:val="3"/>
        <w:numId w:val="1"/>
      </w:numPr>
      <w:adjustRightInd w:val="0"/>
      <w:spacing w:line="300" w:lineRule="auto"/>
      <w:jc w:val="left"/>
      <w:textAlignment w:val="baseline"/>
      <w:outlineLvl w:val="3"/>
    </w:pPr>
    <w:rPr>
      <w:rFonts w:ascii="Arial" w:hAnsi="Arial"/>
      <w:bCs/>
      <w:kern w:val="0"/>
      <w:sz w:val="24"/>
      <w:szCs w:val="28"/>
      <w:lang w:val="zh-CN" w:eastAsia="zh-TW"/>
    </w:rPr>
  </w:style>
  <w:style w:type="paragraph" w:styleId="5">
    <w:name w:val="heading 5"/>
    <w:basedOn w:val="a"/>
    <w:next w:val="a"/>
    <w:link w:val="50"/>
    <w:qFormat/>
    <w:pPr>
      <w:numPr>
        <w:ilvl w:val="4"/>
        <w:numId w:val="1"/>
      </w:numPr>
      <w:spacing w:line="300" w:lineRule="auto"/>
      <w:jc w:val="left"/>
      <w:textAlignment w:val="baseline"/>
      <w:outlineLvl w:val="4"/>
    </w:pPr>
    <w:rPr>
      <w:rFonts w:ascii="Arial" w:hAnsi="Arial"/>
      <w:bCs/>
      <w:kern w:val="0"/>
      <w:sz w:val="24"/>
      <w:szCs w:val="28"/>
      <w:lang w:val="zh-CN" w:eastAsia="zh-TW"/>
    </w:rPr>
  </w:style>
  <w:style w:type="paragraph" w:styleId="6">
    <w:name w:val="heading 6"/>
    <w:basedOn w:val="a"/>
    <w:next w:val="a"/>
    <w:link w:val="60"/>
    <w:qFormat/>
    <w:pPr>
      <w:numPr>
        <w:ilvl w:val="5"/>
        <w:numId w:val="1"/>
      </w:numPr>
      <w:adjustRightInd w:val="0"/>
      <w:spacing w:line="300" w:lineRule="auto"/>
      <w:jc w:val="left"/>
      <w:textAlignment w:val="baseline"/>
      <w:outlineLvl w:val="5"/>
    </w:pPr>
    <w:rPr>
      <w:rFonts w:ascii="Arial" w:hAnsi="Arial"/>
      <w:bCs/>
      <w:kern w:val="0"/>
      <w:sz w:val="24"/>
      <w:lang w:val="zh-CN"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a5"/>
    <w:uiPriority w:val="99"/>
    <w:semiHidden/>
    <w:unhideWhenUsed/>
    <w:pPr>
      <w:jc w:val="left"/>
    </w:pPr>
  </w:style>
  <w:style w:type="paragraph" w:styleId="a6">
    <w:name w:val="Body Text Indent"/>
    <w:basedOn w:val="a"/>
    <w:link w:val="a7"/>
    <w:pPr>
      <w:shd w:val="clear" w:color="auto" w:fill="FFFFFF"/>
      <w:spacing w:line="440" w:lineRule="exact"/>
      <w:ind w:firstLine="425"/>
    </w:pPr>
    <w:rPr>
      <w:rFonts w:ascii="Times New Roman" w:hAnsi="Times New Roman"/>
      <w:szCs w:val="20"/>
    </w:rPr>
  </w:style>
  <w:style w:type="paragraph" w:styleId="31">
    <w:name w:val="toc 3"/>
    <w:basedOn w:val="a"/>
    <w:next w:val="a"/>
    <w:uiPriority w:val="39"/>
    <w:unhideWhenUsed/>
    <w:pPr>
      <w:widowControl/>
      <w:spacing w:after="100" w:line="259" w:lineRule="auto"/>
      <w:ind w:left="440"/>
      <w:jc w:val="left"/>
    </w:pPr>
    <w:rPr>
      <w:rFonts w:asciiTheme="minorHAnsi" w:eastAsiaTheme="minorEastAsia" w:hAnsiTheme="minorHAnsi"/>
      <w:kern w:val="0"/>
      <w:sz w:val="22"/>
      <w:szCs w:val="22"/>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pPr>
      <w:widowControl/>
      <w:spacing w:after="100" w:line="259" w:lineRule="auto"/>
      <w:jc w:val="left"/>
    </w:pPr>
    <w:rPr>
      <w:rFonts w:asciiTheme="minorHAnsi" w:eastAsiaTheme="minorEastAsia" w:hAnsiTheme="minorHAnsi"/>
      <w:kern w:val="0"/>
      <w:sz w:val="22"/>
      <w:szCs w:val="22"/>
    </w:rPr>
  </w:style>
  <w:style w:type="paragraph" w:styleId="21">
    <w:name w:val="toc 2"/>
    <w:basedOn w:val="a"/>
    <w:next w:val="a"/>
    <w:uiPriority w:val="39"/>
    <w:unhideWhenUsed/>
    <w:pPr>
      <w:widowControl/>
      <w:spacing w:after="100" w:line="259" w:lineRule="auto"/>
      <w:ind w:left="220"/>
      <w:jc w:val="left"/>
    </w:pPr>
    <w:rPr>
      <w:rFonts w:asciiTheme="minorHAnsi" w:eastAsiaTheme="minorEastAsia" w:hAnsiTheme="minorHAnsi"/>
      <w:kern w:val="0"/>
      <w:sz w:val="22"/>
      <w:szCs w:val="22"/>
    </w:rPr>
  </w:style>
  <w:style w:type="paragraph" w:styleId="af0">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1">
    <w:name w:val="Title"/>
    <w:basedOn w:val="a"/>
    <w:next w:val="a"/>
    <w:link w:val="af2"/>
    <w:uiPriority w:val="10"/>
    <w:qFormat/>
    <w:pPr>
      <w:spacing w:before="240" w:after="60"/>
      <w:jc w:val="center"/>
      <w:outlineLvl w:val="0"/>
    </w:pPr>
    <w:rPr>
      <w:rFonts w:asciiTheme="majorHAnsi" w:hAnsiTheme="majorHAnsi" w:cstheme="majorBidi"/>
      <w:b/>
      <w:bCs/>
      <w:sz w:val="32"/>
      <w:szCs w:val="32"/>
    </w:rPr>
  </w:style>
  <w:style w:type="paragraph" w:styleId="af3">
    <w:name w:val="annotation subject"/>
    <w:basedOn w:val="a4"/>
    <w:next w:val="a4"/>
    <w:link w:val="af4"/>
    <w:uiPriority w:val="99"/>
    <w:semiHidden/>
    <w:unhideWhenUsed/>
    <w:rPr>
      <w:b/>
      <w:bCs/>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rPr>
      <w:sz w:val="18"/>
      <w:szCs w:val="18"/>
    </w:rPr>
  </w:style>
  <w:style w:type="character" w:customStyle="1" w:styleId="ab">
    <w:name w:val="批注框文本 字符"/>
    <w:basedOn w:val="a0"/>
    <w:link w:val="aa"/>
    <w:uiPriority w:val="99"/>
    <w:semiHidden/>
    <w:rPr>
      <w:sz w:val="18"/>
      <w:szCs w:val="18"/>
    </w:rPr>
  </w:style>
  <w:style w:type="paragraph" w:styleId="af8">
    <w:name w:val="List Paragraph"/>
    <w:basedOn w:val="a"/>
    <w:uiPriority w:val="34"/>
    <w:qFormat/>
    <w:pPr>
      <w:ind w:firstLineChars="200" w:firstLine="420"/>
    </w:pPr>
  </w:style>
  <w:style w:type="character" w:customStyle="1" w:styleId="10">
    <w:name w:val="标题 1 字符"/>
    <w:basedOn w:val="a0"/>
    <w:link w:val="1"/>
    <w:qFormat/>
    <w:rPr>
      <w:rFonts w:ascii="Arial" w:eastAsia="宋体" w:hAnsi="Arial" w:cs="Times New Roman"/>
      <w:b/>
      <w:bCs/>
      <w:kern w:val="44"/>
      <w:sz w:val="24"/>
      <w:szCs w:val="24"/>
      <w:lang w:val="zh-CN" w:eastAsia="zh-CN"/>
    </w:rPr>
  </w:style>
  <w:style w:type="character" w:customStyle="1" w:styleId="20">
    <w:name w:val="标题 2 字符"/>
    <w:basedOn w:val="a0"/>
    <w:link w:val="2"/>
    <w:rPr>
      <w:rFonts w:ascii="Arial" w:eastAsia="宋体" w:hAnsi="Arial" w:cs="Times New Roman"/>
      <w:kern w:val="0"/>
      <w:sz w:val="24"/>
      <w:szCs w:val="24"/>
      <w:lang w:val="zh-CN" w:eastAsia="zh-TW"/>
    </w:rPr>
  </w:style>
  <w:style w:type="character" w:customStyle="1" w:styleId="30">
    <w:name w:val="标题 3 字符"/>
    <w:basedOn w:val="a0"/>
    <w:link w:val="3"/>
    <w:rPr>
      <w:rFonts w:ascii="Arial" w:eastAsia="宋体" w:hAnsi="Arial" w:cs="Times New Roman"/>
      <w:kern w:val="0"/>
      <w:sz w:val="24"/>
      <w:szCs w:val="24"/>
      <w:lang w:val="zh-CN" w:eastAsia="zh-TW"/>
    </w:rPr>
  </w:style>
  <w:style w:type="character" w:customStyle="1" w:styleId="40">
    <w:name w:val="标题 4 字符"/>
    <w:basedOn w:val="a0"/>
    <w:link w:val="4"/>
    <w:qFormat/>
    <w:rPr>
      <w:rFonts w:ascii="Arial" w:eastAsia="宋体" w:hAnsi="Arial" w:cs="Times New Roman"/>
      <w:bCs/>
      <w:kern w:val="0"/>
      <w:sz w:val="24"/>
      <w:szCs w:val="28"/>
      <w:lang w:val="zh-CN" w:eastAsia="zh-TW"/>
    </w:rPr>
  </w:style>
  <w:style w:type="character" w:customStyle="1" w:styleId="50">
    <w:name w:val="标题 5 字符"/>
    <w:basedOn w:val="a0"/>
    <w:link w:val="5"/>
    <w:rPr>
      <w:rFonts w:ascii="Arial" w:eastAsia="宋体" w:hAnsi="Arial" w:cs="Times New Roman"/>
      <w:bCs/>
      <w:kern w:val="0"/>
      <w:sz w:val="24"/>
      <w:szCs w:val="28"/>
      <w:lang w:val="zh-CN" w:eastAsia="zh-TW"/>
    </w:rPr>
  </w:style>
  <w:style w:type="character" w:customStyle="1" w:styleId="60">
    <w:name w:val="标题 6 字符"/>
    <w:basedOn w:val="a0"/>
    <w:link w:val="6"/>
    <w:rPr>
      <w:rFonts w:ascii="Arial" w:eastAsia="宋体" w:hAnsi="Arial" w:cs="Times New Roman"/>
      <w:bCs/>
      <w:kern w:val="0"/>
      <w:sz w:val="24"/>
      <w:szCs w:val="24"/>
      <w:lang w:val="zh-CN" w:eastAsia="zh-TW"/>
    </w:rPr>
  </w:style>
  <w:style w:type="paragraph" w:customStyle="1" w:styleId="25">
    <w:name w:val="样式 居中 行距: 固定值 25 磅"/>
    <w:basedOn w:val="a"/>
    <w:qFormat/>
    <w:pPr>
      <w:adjustRightInd w:val="0"/>
      <w:spacing w:line="300" w:lineRule="auto"/>
      <w:jc w:val="center"/>
      <w:textAlignment w:val="baseline"/>
    </w:pPr>
    <w:rPr>
      <w:rFonts w:ascii="Arial" w:hAnsi="Arial" w:cs="宋体"/>
      <w:kern w:val="0"/>
      <w:sz w:val="24"/>
      <w:szCs w:val="20"/>
      <w:lang w:eastAsia="zh-TW"/>
    </w:rPr>
  </w:style>
  <w:style w:type="paragraph" w:customStyle="1" w:styleId="TOC1">
    <w:name w:val="TOC 标题1"/>
    <w:basedOn w:val="1"/>
    <w:next w:val="a"/>
    <w:uiPriority w:val="39"/>
    <w:unhideWhenUsed/>
    <w:qFormat/>
    <w:pPr>
      <w:keepNext/>
      <w:keepLines/>
      <w:widowControl/>
      <w:numPr>
        <w:numId w:val="0"/>
      </w:numPr>
      <w:tabs>
        <w:tab w:val="clear" w:pos="284"/>
      </w:tabs>
      <w:adjustRightInd/>
      <w:spacing w:before="24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customStyle="1" w:styleId="a5">
    <w:name w:val="批注文字 字符"/>
    <w:basedOn w:val="a0"/>
    <w:link w:val="a4"/>
    <w:uiPriority w:val="99"/>
    <w:semiHidden/>
    <w:rPr>
      <w:rFonts w:ascii="Calibri" w:eastAsia="宋体" w:hAnsi="Calibri" w:cs="Times New Roman"/>
      <w:szCs w:val="24"/>
    </w:rPr>
  </w:style>
  <w:style w:type="character" w:customStyle="1" w:styleId="af4">
    <w:name w:val="批注主题 字符"/>
    <w:basedOn w:val="a5"/>
    <w:link w:val="af3"/>
    <w:uiPriority w:val="99"/>
    <w:semiHidden/>
    <w:rPr>
      <w:rFonts w:ascii="Calibri" w:eastAsia="宋体" w:hAnsi="Calibri" w:cs="Times New Roman"/>
      <w:b/>
      <w:bCs/>
      <w:szCs w:val="24"/>
    </w:rPr>
  </w:style>
  <w:style w:type="character" w:customStyle="1" w:styleId="af2">
    <w:name w:val="标题 字符"/>
    <w:basedOn w:val="a0"/>
    <w:link w:val="af1"/>
    <w:uiPriority w:val="10"/>
    <w:rPr>
      <w:rFonts w:asciiTheme="majorHAnsi" w:eastAsia="宋体" w:hAnsiTheme="majorHAnsi" w:cstheme="majorBidi"/>
      <w:b/>
      <w:bCs/>
      <w:sz w:val="32"/>
      <w:szCs w:val="32"/>
    </w:rPr>
  </w:style>
  <w:style w:type="paragraph" w:customStyle="1" w:styleId="12">
    <w:name w:val="修订1"/>
    <w:hidden/>
    <w:uiPriority w:val="99"/>
    <w:semiHidden/>
    <w:rPr>
      <w:rFonts w:ascii="Calibri" w:eastAsia="宋体" w:hAnsi="Calibri" w:cs="Times New Roman"/>
      <w:kern w:val="2"/>
      <w:sz w:val="21"/>
      <w:szCs w:val="24"/>
    </w:rPr>
  </w:style>
  <w:style w:type="character" w:customStyle="1" w:styleId="a9">
    <w:name w:val="日期 字符"/>
    <w:basedOn w:val="a0"/>
    <w:link w:val="a8"/>
    <w:uiPriority w:val="99"/>
    <w:semiHidden/>
    <w:rPr>
      <w:rFonts w:ascii="Calibri" w:eastAsia="宋体" w:hAnsi="Calibri" w:cs="Times New Roman"/>
      <w:szCs w:val="24"/>
    </w:rPr>
  </w:style>
  <w:style w:type="character" w:customStyle="1" w:styleId="a7">
    <w:name w:val="正文文本缩进 字符"/>
    <w:basedOn w:val="a0"/>
    <w:link w:val="a6"/>
    <w:rPr>
      <w:rFonts w:ascii="Times New Roman" w:eastAsia="宋体" w:hAnsi="Times New Roman" w:cs="Times New Roman"/>
      <w:szCs w:val="20"/>
      <w:shd w:val="clear" w:color="auto" w:fill="FFFFFF"/>
    </w:rPr>
  </w:style>
  <w:style w:type="paragraph" w:customStyle="1" w:styleId="Default">
    <w:name w:val="Default"/>
    <w:pPr>
      <w:widowControl w:val="0"/>
      <w:autoSpaceDE w:val="0"/>
      <w:autoSpaceDN w:val="0"/>
      <w:adjustRightInd w:val="0"/>
    </w:pPr>
    <w:rPr>
      <w:rFonts w:ascii="华文细黑" w:eastAsia="华文细黑" w:cs="华文细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33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32D86-4725-404F-96BC-C104CD93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3</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刘曼曼</cp:lastModifiedBy>
  <cp:revision>152</cp:revision>
  <cp:lastPrinted>2019-12-25T02:37:00Z</cp:lastPrinted>
  <dcterms:created xsi:type="dcterms:W3CDTF">2019-08-15T07:25:00Z</dcterms:created>
  <dcterms:modified xsi:type="dcterms:W3CDTF">2023-07-19T07:17:00Z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0F76985A443C4A14BF8511147A4C722C</vt:lpwstr>
  </property>
</Properties>
</file>